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 Meeting Room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Monday, March 7, 2022 at 6:30 pm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March 2022 Board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February 2022 financial statements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February 2022 History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February 2022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February 2022 Revenue &amp; Expenses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March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2022 Stats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Programming Summary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City Manager Presentation: Wage Study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Board Education: none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IX.  Agenda Items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Tier Standards Section 4: Library Collections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changes to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Circulation Policy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changes to Electronic Devices Policy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Etech proposal for improving library’s wifi.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Walsh Door &amp; Security proposal for completing the library’s security camera project.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Resolution 2022-05L declaring certain items of library property to be surplus and of no value to the city and authorizing removal from inventory.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Budget Amendment for FY22/FY23 allocating received grant funds.</w:t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1F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  <w:t xml:space="preserve"> Next Meeting Monday, May 2, 2022</w:t>
      </w:r>
    </w:p>
    <w:p w:rsidR="00000000" w:rsidDel="00000000" w:rsidP="00000000" w:rsidRDefault="00000000" w:rsidRPr="00000000" w14:paraId="00000021">
      <w:pPr>
        <w:pageBreakBefore w:val="0"/>
        <w:ind w:right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